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E2A5F" w14:textId="456C5355" w:rsidR="00A6608B" w:rsidRDefault="00A6608B" w:rsidP="00A6608B">
      <w:pPr>
        <w:jc w:val="center"/>
        <w:rPr>
          <w:rFonts w:ascii="Theinhardt Regular" w:hAnsi="Theinhardt Regular"/>
          <w:b/>
          <w:bCs/>
          <w:sz w:val="28"/>
          <w:szCs w:val="28"/>
        </w:rPr>
      </w:pPr>
      <w:r w:rsidRPr="003D1295">
        <w:rPr>
          <w:rFonts w:ascii="Theinhardt Regular" w:hAnsi="Theinhardt Regular"/>
          <w:b/>
          <w:sz w:val="28"/>
          <w:szCs w:val="28"/>
        </w:rPr>
        <w:t>TAPA PRIVATE WEALTH INC.</w:t>
      </w:r>
    </w:p>
    <w:p w14:paraId="23EB2FC9" w14:textId="5CA1015D" w:rsidR="00586833" w:rsidRPr="007C500B" w:rsidRDefault="00A6624E" w:rsidP="00A6608B">
      <w:pPr>
        <w:jc w:val="center"/>
        <w:rPr>
          <w:rFonts w:ascii="Theinhardt Regular" w:hAnsi="Theinhardt Regular"/>
          <w:b/>
          <w:bCs/>
          <w:sz w:val="28"/>
          <w:szCs w:val="28"/>
        </w:rPr>
      </w:pPr>
      <w:r w:rsidRPr="007C500B">
        <w:rPr>
          <w:rFonts w:ascii="Theinhardt Regular" w:hAnsi="Theinhardt Regular"/>
          <w:b/>
          <w:bCs/>
          <w:sz w:val="28"/>
          <w:szCs w:val="28"/>
        </w:rPr>
        <w:t>Privacy Notice</w:t>
      </w:r>
    </w:p>
    <w:p w14:paraId="10950412" w14:textId="77777777" w:rsidR="00586833" w:rsidRPr="007C500B" w:rsidRDefault="00A6624E" w:rsidP="00F043DF">
      <w:pPr>
        <w:jc w:val="both"/>
        <w:rPr>
          <w:rFonts w:ascii="Theinhardt Regular" w:hAnsi="Theinhardt Regular"/>
          <w:b/>
          <w:bCs/>
          <w:sz w:val="28"/>
          <w:szCs w:val="28"/>
        </w:rPr>
      </w:pPr>
      <w:r w:rsidRPr="007C500B">
        <w:rPr>
          <w:rFonts w:ascii="Theinhardt Regular" w:hAnsi="Theinhardt Regular"/>
          <w:b/>
          <w:bCs/>
          <w:sz w:val="28"/>
          <w:szCs w:val="28"/>
        </w:rPr>
        <w:t>Our Commitment to You</w:t>
      </w:r>
    </w:p>
    <w:p w14:paraId="3FC9D60B" w14:textId="25D7EE5D" w:rsidR="00586833" w:rsidRPr="00F043DF" w:rsidRDefault="00A6624E" w:rsidP="00F043DF">
      <w:pPr>
        <w:jc w:val="both"/>
        <w:rPr>
          <w:rFonts w:ascii="Theinhardt Regular" w:hAnsi="Theinhardt Regular"/>
        </w:rPr>
      </w:pPr>
      <w:r w:rsidRPr="00F043DF">
        <w:rPr>
          <w:rFonts w:ascii="Theinhardt Regular" w:hAnsi="Theinhardt Regular"/>
        </w:rPr>
        <w:t>Tapa Private Wealth Inc. (the “</w:t>
      </w:r>
      <w:r w:rsidR="008B07A6">
        <w:rPr>
          <w:rFonts w:ascii="Theinhardt Regular" w:hAnsi="Theinhardt Regular"/>
        </w:rPr>
        <w:t>Firm</w:t>
      </w:r>
      <w:r w:rsidRPr="00F043DF">
        <w:rPr>
          <w:rFonts w:ascii="Theinhardt Regular" w:hAnsi="Theinhardt Regular"/>
        </w:rPr>
        <w:t xml:space="preserve">”) is committed to maintaining the trust and confidence of its clients. This Privacy Notice explains how the </w:t>
      </w:r>
      <w:r w:rsidR="008B07A6">
        <w:rPr>
          <w:rFonts w:ascii="Theinhardt Regular" w:hAnsi="Theinhardt Regular"/>
        </w:rPr>
        <w:t>Firm</w:t>
      </w:r>
      <w:r w:rsidRPr="00F043DF">
        <w:rPr>
          <w:rFonts w:ascii="Theinhardt Regular" w:hAnsi="Theinhardt Regular"/>
        </w:rPr>
        <w:t xml:space="preserve"> collects, uses, shares, and safeguards your nonpublic personal information (“personal information”) in the course of providing services. Keeping personal information secure and private is a priority at the </w:t>
      </w:r>
      <w:r w:rsidR="008B07A6">
        <w:rPr>
          <w:rFonts w:ascii="Theinhardt Regular" w:hAnsi="Theinhardt Regular"/>
        </w:rPr>
        <w:t>Firm</w:t>
      </w:r>
      <w:r w:rsidRPr="00F043DF">
        <w:rPr>
          <w:rFonts w:ascii="Theinhardt Regular" w:hAnsi="Theinhardt Regular"/>
        </w:rPr>
        <w:t>.</w:t>
      </w:r>
    </w:p>
    <w:p w14:paraId="3D2543FB" w14:textId="668C68AC" w:rsidR="00586833" w:rsidRPr="00F043DF" w:rsidRDefault="00A6624E" w:rsidP="00F043DF">
      <w:pPr>
        <w:jc w:val="both"/>
        <w:rPr>
          <w:rFonts w:ascii="Theinhardt Regular" w:hAnsi="Theinhardt Regular"/>
        </w:rPr>
      </w:pPr>
      <w:r w:rsidRPr="00F043DF">
        <w:rPr>
          <w:rFonts w:ascii="Theinhardt Regular" w:hAnsi="Theinhardt Regular"/>
        </w:rPr>
        <w:t xml:space="preserve">This Privacy Notice applies to the </w:t>
      </w:r>
      <w:r w:rsidR="008B07A6">
        <w:rPr>
          <w:rFonts w:ascii="Theinhardt Regular" w:hAnsi="Theinhardt Regular"/>
        </w:rPr>
        <w:t>Firm</w:t>
      </w:r>
      <w:r w:rsidRPr="00F043DF">
        <w:rPr>
          <w:rFonts w:ascii="Theinhardt Regular" w:hAnsi="Theinhardt Regular"/>
        </w:rPr>
        <w:t xml:space="preserve"> and any subsidiaries or affiliated companies, if any, that adopt this Notice. If the </w:t>
      </w:r>
      <w:r w:rsidR="008B07A6">
        <w:rPr>
          <w:rFonts w:ascii="Theinhardt Regular" w:hAnsi="Theinhardt Regular"/>
        </w:rPr>
        <w:t>Firm</w:t>
      </w:r>
      <w:r w:rsidRPr="00F043DF">
        <w:rPr>
          <w:rFonts w:ascii="Theinhardt Regular" w:hAnsi="Theinhardt Regular"/>
        </w:rPr>
        <w:t xml:space="preserve"> forms or acquires affiliates in the future, those entities will also subscribe to this Privacy Notice unless otherwise stated.</w:t>
      </w:r>
    </w:p>
    <w:p w14:paraId="59ADC1CF" w14:textId="7C53C260" w:rsidR="00586833" w:rsidRPr="007C500B" w:rsidRDefault="00A6624E" w:rsidP="00F043DF">
      <w:pPr>
        <w:jc w:val="both"/>
        <w:rPr>
          <w:rFonts w:ascii="Theinhardt Regular" w:hAnsi="Theinhardt Regular"/>
          <w:b/>
          <w:bCs/>
          <w:sz w:val="28"/>
          <w:szCs w:val="28"/>
        </w:rPr>
      </w:pPr>
      <w:r w:rsidRPr="007C500B">
        <w:rPr>
          <w:rFonts w:ascii="Theinhardt Regular" w:hAnsi="Theinhardt Regular"/>
          <w:b/>
          <w:bCs/>
          <w:sz w:val="28"/>
          <w:szCs w:val="28"/>
        </w:rPr>
        <w:t xml:space="preserve">How the </w:t>
      </w:r>
      <w:r w:rsidR="008B07A6">
        <w:rPr>
          <w:rFonts w:ascii="Theinhardt Regular" w:hAnsi="Theinhardt Regular"/>
          <w:b/>
          <w:bCs/>
          <w:sz w:val="28"/>
          <w:szCs w:val="28"/>
        </w:rPr>
        <w:t>Firm</w:t>
      </w:r>
      <w:r w:rsidRPr="007C500B">
        <w:rPr>
          <w:rFonts w:ascii="Theinhardt Regular" w:hAnsi="Theinhardt Regular"/>
          <w:b/>
          <w:bCs/>
          <w:sz w:val="28"/>
          <w:szCs w:val="28"/>
        </w:rPr>
        <w:t xml:space="preserve"> Collects Your Personal Information</w:t>
      </w:r>
    </w:p>
    <w:p w14:paraId="79F102EE" w14:textId="77777777" w:rsidR="00586833" w:rsidRPr="00F043DF" w:rsidRDefault="00A6624E" w:rsidP="00F043DF">
      <w:pPr>
        <w:jc w:val="both"/>
        <w:rPr>
          <w:rFonts w:ascii="Theinhardt Regular" w:hAnsi="Theinhardt Regular"/>
        </w:rPr>
      </w:pPr>
      <w:r w:rsidRPr="00F043DF">
        <w:rPr>
          <w:rFonts w:ascii="Theinhardt Regular" w:hAnsi="Theinhardt Regular"/>
        </w:rPr>
        <w:t>Categories of Personal Information Collected:</w:t>
      </w:r>
    </w:p>
    <w:p w14:paraId="2E0A5168" w14:textId="77777777" w:rsidR="00586833" w:rsidRPr="00F043DF" w:rsidRDefault="00A6624E" w:rsidP="00F043DF">
      <w:pPr>
        <w:jc w:val="both"/>
        <w:rPr>
          <w:rFonts w:ascii="Theinhardt Regular" w:hAnsi="Theinhardt Regular"/>
        </w:rPr>
      </w:pPr>
      <w:r w:rsidRPr="00F043DF">
        <w:rPr>
          <w:rFonts w:ascii="Theinhardt Regular" w:hAnsi="Theinhardt Regular"/>
        </w:rPr>
        <w:t>• Name, address, Social Security number, and tax identification number</w:t>
      </w:r>
    </w:p>
    <w:p w14:paraId="5CE1E0D1" w14:textId="77777777" w:rsidR="00586833" w:rsidRPr="00F043DF" w:rsidRDefault="00A6624E" w:rsidP="00F043DF">
      <w:pPr>
        <w:jc w:val="both"/>
        <w:rPr>
          <w:rFonts w:ascii="Theinhardt Regular" w:hAnsi="Theinhardt Regular"/>
        </w:rPr>
      </w:pPr>
      <w:r w:rsidRPr="00F043DF">
        <w:rPr>
          <w:rFonts w:ascii="Theinhardt Regular" w:hAnsi="Theinhardt Regular"/>
        </w:rPr>
        <w:t>• Date of birth and contact details</w:t>
      </w:r>
    </w:p>
    <w:p w14:paraId="607A8A31" w14:textId="77777777" w:rsidR="00586833" w:rsidRPr="00F043DF" w:rsidRDefault="00A6624E" w:rsidP="00F043DF">
      <w:pPr>
        <w:jc w:val="both"/>
        <w:rPr>
          <w:rFonts w:ascii="Theinhardt Regular" w:hAnsi="Theinhardt Regular"/>
        </w:rPr>
      </w:pPr>
      <w:r w:rsidRPr="00F043DF">
        <w:rPr>
          <w:rFonts w:ascii="Theinhardt Regular" w:hAnsi="Theinhardt Regular"/>
        </w:rPr>
        <w:t>• Income, assets, liabilities, and net worth</w:t>
      </w:r>
    </w:p>
    <w:p w14:paraId="58145297" w14:textId="77777777" w:rsidR="00586833" w:rsidRPr="00F043DF" w:rsidRDefault="00A6624E" w:rsidP="00F043DF">
      <w:pPr>
        <w:jc w:val="both"/>
        <w:rPr>
          <w:rFonts w:ascii="Theinhardt Regular" w:hAnsi="Theinhardt Regular"/>
        </w:rPr>
      </w:pPr>
      <w:r w:rsidRPr="00F043DF">
        <w:rPr>
          <w:rFonts w:ascii="Theinhardt Regular" w:hAnsi="Theinhardt Regular"/>
        </w:rPr>
        <w:t>• Financial goals, estate planning documents, and fiduciary documents</w:t>
      </w:r>
    </w:p>
    <w:p w14:paraId="1EB14E10" w14:textId="77777777" w:rsidR="00586833" w:rsidRPr="00F043DF" w:rsidRDefault="00A6624E" w:rsidP="00F043DF">
      <w:pPr>
        <w:jc w:val="both"/>
        <w:rPr>
          <w:rFonts w:ascii="Theinhardt Regular" w:hAnsi="Theinhardt Regular"/>
        </w:rPr>
      </w:pPr>
      <w:r w:rsidRPr="00F043DF">
        <w:rPr>
          <w:rFonts w:ascii="Theinhardt Regular" w:hAnsi="Theinhardt Regular"/>
        </w:rPr>
        <w:t>• Tax planning information</w:t>
      </w:r>
    </w:p>
    <w:p w14:paraId="130C822C" w14:textId="37FCAB37" w:rsidR="00586833" w:rsidRPr="00F043DF" w:rsidRDefault="00A6624E" w:rsidP="00F043DF">
      <w:pPr>
        <w:jc w:val="both"/>
        <w:rPr>
          <w:rFonts w:ascii="Theinhardt Regular" w:hAnsi="Theinhardt Regular"/>
        </w:rPr>
      </w:pPr>
      <w:r w:rsidRPr="00F043DF">
        <w:rPr>
          <w:rFonts w:ascii="Theinhardt Regular" w:hAnsi="Theinhardt Regular"/>
        </w:rPr>
        <w:t xml:space="preserve">• Transaction history with the </w:t>
      </w:r>
      <w:r w:rsidR="008B07A6">
        <w:rPr>
          <w:rFonts w:ascii="Theinhardt Regular" w:hAnsi="Theinhardt Regular"/>
        </w:rPr>
        <w:t>Firm</w:t>
      </w:r>
    </w:p>
    <w:p w14:paraId="61EA9AF6" w14:textId="27DE0818" w:rsidR="00586833" w:rsidRPr="00F043DF" w:rsidRDefault="00A6624E" w:rsidP="00F043DF">
      <w:pPr>
        <w:jc w:val="both"/>
        <w:rPr>
          <w:rFonts w:ascii="Theinhardt Regular" w:hAnsi="Theinhardt Regular"/>
        </w:rPr>
      </w:pPr>
      <w:r w:rsidRPr="00F043DF">
        <w:rPr>
          <w:rFonts w:ascii="Theinhardt Regular" w:hAnsi="Theinhardt Regular"/>
        </w:rPr>
        <w:t xml:space="preserve">While providing services to you, the </w:t>
      </w:r>
      <w:r w:rsidR="008B07A6">
        <w:rPr>
          <w:rFonts w:ascii="Theinhardt Regular" w:hAnsi="Theinhardt Regular"/>
        </w:rPr>
        <w:t>Firm</w:t>
      </w:r>
      <w:r w:rsidRPr="00F043DF">
        <w:rPr>
          <w:rFonts w:ascii="Theinhardt Regular" w:hAnsi="Theinhardt Regular"/>
        </w:rPr>
        <w:t xml:space="preserve"> may collect personal information from the following sources:</w:t>
      </w:r>
    </w:p>
    <w:p w14:paraId="0047CC6D" w14:textId="77777777" w:rsidR="00586833" w:rsidRPr="00F043DF" w:rsidRDefault="00A6624E" w:rsidP="00F043DF">
      <w:pPr>
        <w:jc w:val="both"/>
        <w:rPr>
          <w:rFonts w:ascii="Theinhardt Regular" w:hAnsi="Theinhardt Regular"/>
        </w:rPr>
      </w:pPr>
      <w:r w:rsidRPr="00F043DF">
        <w:rPr>
          <w:rFonts w:ascii="Theinhardt Regular" w:hAnsi="Theinhardt Regular"/>
        </w:rPr>
        <w:t>Account applications, financial planning forms, onboarding questionnaires, and other documents you provide (e.g., name, address, Social Security number, date of birth, income, assets, investment objectives).</w:t>
      </w:r>
    </w:p>
    <w:p w14:paraId="5D7A2B24" w14:textId="0D13ED5F" w:rsidR="00586833" w:rsidRPr="00F043DF" w:rsidRDefault="00A6624E" w:rsidP="00F043DF">
      <w:pPr>
        <w:jc w:val="both"/>
        <w:rPr>
          <w:rFonts w:ascii="Theinhardt Regular" w:hAnsi="Theinhardt Regular"/>
        </w:rPr>
      </w:pPr>
      <w:r w:rsidRPr="00F043DF">
        <w:rPr>
          <w:rFonts w:ascii="Theinhardt Regular" w:hAnsi="Theinhardt Regular"/>
        </w:rPr>
        <w:t xml:space="preserve">Your transactions and interactions with the </w:t>
      </w:r>
      <w:r w:rsidR="008B07A6">
        <w:rPr>
          <w:rFonts w:ascii="Theinhardt Regular" w:hAnsi="Theinhardt Regular"/>
        </w:rPr>
        <w:t>Firm</w:t>
      </w:r>
      <w:r w:rsidRPr="00F043DF">
        <w:rPr>
          <w:rFonts w:ascii="Theinhardt Regular" w:hAnsi="Theinhardt Regular"/>
        </w:rPr>
        <w:t xml:space="preserve"> and, if applicable, its affiliated companies or program partners (e.g., account balances, payment history, parties to transactions, types and amounts of investments, transactions, and related activity).</w:t>
      </w:r>
    </w:p>
    <w:p w14:paraId="32D5F11A" w14:textId="77777777" w:rsidR="00586833" w:rsidRPr="00F043DF" w:rsidRDefault="00A6624E" w:rsidP="00F043DF">
      <w:pPr>
        <w:jc w:val="both"/>
        <w:rPr>
          <w:rFonts w:ascii="Theinhardt Regular" w:hAnsi="Theinhardt Regular"/>
        </w:rPr>
      </w:pPr>
      <w:r w:rsidRPr="00F043DF">
        <w:rPr>
          <w:rFonts w:ascii="Theinhardt Regular" w:hAnsi="Theinhardt Regular"/>
        </w:rPr>
        <w:t>Consumer reporting agencies (e.g., information concerning your creditworthiness and credit history).</w:t>
      </w:r>
    </w:p>
    <w:p w14:paraId="548F3F52" w14:textId="77777777" w:rsidR="00586833" w:rsidRPr="00F043DF" w:rsidRDefault="00A6624E" w:rsidP="00F043DF">
      <w:pPr>
        <w:jc w:val="both"/>
        <w:rPr>
          <w:rFonts w:ascii="Theinhardt Regular" w:hAnsi="Theinhardt Regular"/>
        </w:rPr>
      </w:pPr>
      <w:r w:rsidRPr="00F043DF">
        <w:rPr>
          <w:rFonts w:ascii="Theinhardt Regular" w:hAnsi="Theinhardt Regular"/>
        </w:rPr>
        <w:t>Third parties used to verify applications or other forms (e.g., current or past employers, financial institutions with which you conduct transactions), when you authorize us to obtain such information.</w:t>
      </w:r>
    </w:p>
    <w:p w14:paraId="167D1491" w14:textId="77777777" w:rsidR="00586833" w:rsidRPr="007C500B" w:rsidRDefault="00A6624E" w:rsidP="00F043DF">
      <w:pPr>
        <w:jc w:val="both"/>
        <w:rPr>
          <w:rFonts w:ascii="Theinhardt Regular" w:hAnsi="Theinhardt Regular"/>
          <w:b/>
          <w:bCs/>
          <w:sz w:val="28"/>
          <w:szCs w:val="28"/>
        </w:rPr>
      </w:pPr>
      <w:r w:rsidRPr="007C500B">
        <w:rPr>
          <w:rFonts w:ascii="Theinhardt Regular" w:hAnsi="Theinhardt Regular"/>
          <w:b/>
          <w:bCs/>
          <w:sz w:val="28"/>
          <w:szCs w:val="28"/>
        </w:rPr>
        <w:lastRenderedPageBreak/>
        <w:t>Keeping Your Information Secure</w:t>
      </w:r>
    </w:p>
    <w:p w14:paraId="578AC81B" w14:textId="0F3CA9BE" w:rsidR="00586833" w:rsidRPr="00F043DF" w:rsidRDefault="00A6624E" w:rsidP="00F043DF">
      <w:pPr>
        <w:jc w:val="both"/>
        <w:rPr>
          <w:rFonts w:ascii="Theinhardt Regular" w:hAnsi="Theinhardt Regular"/>
        </w:rPr>
      </w:pPr>
      <w:r w:rsidRPr="00F043DF">
        <w:rPr>
          <w:rFonts w:ascii="Theinhardt Regular" w:hAnsi="Theinhardt Regular"/>
        </w:rPr>
        <w:t xml:space="preserve">The </w:t>
      </w:r>
      <w:r w:rsidR="008B07A6">
        <w:rPr>
          <w:rFonts w:ascii="Theinhardt Regular" w:hAnsi="Theinhardt Regular"/>
        </w:rPr>
        <w:t>Firm</w:t>
      </w:r>
      <w:r w:rsidRPr="00F043DF">
        <w:rPr>
          <w:rFonts w:ascii="Theinhardt Regular" w:hAnsi="Theinhardt Regular"/>
        </w:rPr>
        <w:t xml:space="preserve"> restricts access to personal information to personnel and agents who need to know that information to provide products or services to you. The </w:t>
      </w:r>
      <w:r w:rsidR="008B07A6">
        <w:rPr>
          <w:rFonts w:ascii="Theinhardt Regular" w:hAnsi="Theinhardt Regular"/>
        </w:rPr>
        <w:t>Firm</w:t>
      </w:r>
      <w:r w:rsidRPr="00F043DF">
        <w:rPr>
          <w:rFonts w:ascii="Theinhardt Regular" w:hAnsi="Theinhardt Regular"/>
        </w:rPr>
        <w:t xml:space="preserve"> maintains physical, electronic, and procedural safeguards that comply with applicable law to protect your personal information, and trains personnel in the proper handling of such information. When the </w:t>
      </w:r>
      <w:r w:rsidR="008B07A6">
        <w:rPr>
          <w:rFonts w:ascii="Theinhardt Regular" w:hAnsi="Theinhardt Regular"/>
        </w:rPr>
        <w:t>Firm</w:t>
      </w:r>
      <w:r w:rsidRPr="00F043DF">
        <w:rPr>
          <w:rFonts w:ascii="Theinhardt Regular" w:hAnsi="Theinhardt Regular"/>
        </w:rPr>
        <w:t xml:space="preserve"> uses other companies to help provide services to you, those companies are required to protect the confidentiality of the personal information they receive.</w:t>
      </w:r>
    </w:p>
    <w:p w14:paraId="022B8DF4" w14:textId="77777777" w:rsidR="00586833" w:rsidRPr="007C500B" w:rsidRDefault="00A6624E" w:rsidP="00F043DF">
      <w:pPr>
        <w:jc w:val="both"/>
        <w:rPr>
          <w:rFonts w:ascii="Theinhardt Regular" w:hAnsi="Theinhardt Regular"/>
          <w:b/>
          <w:bCs/>
          <w:sz w:val="28"/>
          <w:szCs w:val="28"/>
        </w:rPr>
      </w:pPr>
      <w:r w:rsidRPr="007C500B">
        <w:rPr>
          <w:rFonts w:ascii="Theinhardt Regular" w:hAnsi="Theinhardt Regular"/>
          <w:b/>
          <w:bCs/>
          <w:sz w:val="28"/>
          <w:szCs w:val="28"/>
        </w:rPr>
        <w:t>Use of Cookies</w:t>
      </w:r>
    </w:p>
    <w:p w14:paraId="5BF16A75" w14:textId="6AD4DAC0" w:rsidR="00586833" w:rsidRPr="00F043DF" w:rsidRDefault="00A6624E" w:rsidP="00F043DF">
      <w:pPr>
        <w:jc w:val="both"/>
        <w:rPr>
          <w:rFonts w:ascii="Theinhardt Regular" w:hAnsi="Theinhardt Regular"/>
        </w:rPr>
      </w:pPr>
      <w:r w:rsidRPr="00F043DF">
        <w:rPr>
          <w:rFonts w:ascii="Theinhardt Regular" w:hAnsi="Theinhardt Regular"/>
        </w:rPr>
        <w:t xml:space="preserve">Clients accessing their account information online will do so via secure sites utilizing data encryption, usernames, and passwords. The </w:t>
      </w:r>
      <w:r w:rsidR="008B07A6">
        <w:rPr>
          <w:rFonts w:ascii="Theinhardt Regular" w:hAnsi="Theinhardt Regular"/>
        </w:rPr>
        <w:t>Firm</w:t>
      </w:r>
      <w:r w:rsidRPr="00F043DF">
        <w:rPr>
          <w:rFonts w:ascii="Theinhardt Regular" w:hAnsi="Theinhardt Regular"/>
        </w:rPr>
        <w:t xml:space="preserve"> maintains appropriate safeguards to protect personal information transmitted electronically.</w:t>
      </w:r>
    </w:p>
    <w:p w14:paraId="578DF9C6" w14:textId="5F734E54" w:rsidR="00586833" w:rsidRPr="00F043DF" w:rsidRDefault="00A6624E" w:rsidP="00F043DF">
      <w:pPr>
        <w:jc w:val="both"/>
        <w:rPr>
          <w:rFonts w:ascii="Theinhardt Regular" w:hAnsi="Theinhardt Regular"/>
        </w:rPr>
      </w:pPr>
      <w:r w:rsidRPr="00F043DF">
        <w:rPr>
          <w:rFonts w:ascii="Theinhardt Regular" w:hAnsi="Theinhardt Regular"/>
        </w:rPr>
        <w:t xml:space="preserve">To provide better service and enhance security, the </w:t>
      </w:r>
      <w:r w:rsidR="008B07A6">
        <w:rPr>
          <w:rFonts w:ascii="Theinhardt Regular" w:hAnsi="Theinhardt Regular"/>
        </w:rPr>
        <w:t>Firm</w:t>
      </w:r>
      <w:r w:rsidRPr="00F043DF">
        <w:rPr>
          <w:rFonts w:ascii="Theinhardt Regular" w:hAnsi="Theinhardt Regular"/>
        </w:rPr>
        <w:t xml:space="preserve">’s website may use “cookies” (small data files stored on your device). Cookies may be used to facilitate website navigation, track usage, store your preferences, and address security needs. Cookies used by the </w:t>
      </w:r>
      <w:r w:rsidR="008B07A6">
        <w:rPr>
          <w:rFonts w:ascii="Theinhardt Regular" w:hAnsi="Theinhardt Regular"/>
        </w:rPr>
        <w:t>Firm</w:t>
      </w:r>
      <w:r w:rsidRPr="00F043DF">
        <w:rPr>
          <w:rFonts w:ascii="Theinhardt Regular" w:hAnsi="Theinhardt Regular"/>
        </w:rPr>
        <w:t xml:space="preserve"> do not contain information that enables anyone to contact you via telephone, email, or other means. You may set your browser to decline cookies; however, certain website features may not function properly and performance may be affected.</w:t>
      </w:r>
    </w:p>
    <w:p w14:paraId="7CB407A7" w14:textId="77777777" w:rsidR="00586833" w:rsidRPr="007C500B" w:rsidRDefault="00A6624E" w:rsidP="00F043DF">
      <w:pPr>
        <w:jc w:val="both"/>
        <w:rPr>
          <w:rFonts w:ascii="Theinhardt Regular" w:hAnsi="Theinhardt Regular"/>
          <w:b/>
          <w:bCs/>
          <w:sz w:val="28"/>
          <w:szCs w:val="28"/>
        </w:rPr>
      </w:pPr>
      <w:r w:rsidRPr="007C500B">
        <w:rPr>
          <w:rFonts w:ascii="Theinhardt Regular" w:hAnsi="Theinhardt Regular"/>
          <w:b/>
          <w:bCs/>
          <w:sz w:val="28"/>
          <w:szCs w:val="28"/>
        </w:rPr>
        <w:t>Disclosing Personal Information to Non</w:t>
      </w:r>
      <w:r w:rsidRPr="007C500B">
        <w:rPr>
          <w:rFonts w:ascii="Cambria Math" w:hAnsi="Cambria Math" w:cs="Cambria Math"/>
          <w:b/>
          <w:bCs/>
          <w:sz w:val="28"/>
          <w:szCs w:val="28"/>
        </w:rPr>
        <w:t>‑</w:t>
      </w:r>
      <w:r w:rsidRPr="007C500B">
        <w:rPr>
          <w:rFonts w:ascii="Theinhardt Regular" w:hAnsi="Theinhardt Regular"/>
          <w:b/>
          <w:bCs/>
          <w:sz w:val="28"/>
          <w:szCs w:val="28"/>
        </w:rPr>
        <w:t>Affiliated Third Parties</w:t>
      </w:r>
    </w:p>
    <w:p w14:paraId="219692FF" w14:textId="02CDAC6B" w:rsidR="00586833" w:rsidRPr="00F043DF" w:rsidRDefault="00A6624E" w:rsidP="00F043DF">
      <w:pPr>
        <w:jc w:val="both"/>
        <w:rPr>
          <w:rFonts w:ascii="Theinhardt Regular" w:hAnsi="Theinhardt Regular"/>
        </w:rPr>
      </w:pPr>
      <w:r w:rsidRPr="00F043DF">
        <w:rPr>
          <w:rFonts w:ascii="Theinhardt Regular" w:hAnsi="Theinhardt Regular"/>
        </w:rPr>
        <w:t xml:space="preserve">In addition, the </w:t>
      </w:r>
      <w:r w:rsidR="008B07A6">
        <w:rPr>
          <w:rFonts w:ascii="Theinhardt Regular" w:hAnsi="Theinhardt Regular"/>
        </w:rPr>
        <w:t>Firm</w:t>
      </w:r>
      <w:r w:rsidRPr="00F043DF">
        <w:rPr>
          <w:rFonts w:ascii="Theinhardt Regular" w:hAnsi="Theinhardt Regular"/>
        </w:rPr>
        <w:t xml:space="preserve"> may also share necessary information with custodians, banks, broker/dealers, and other essential third-party providers required to carry out investment advisory services.</w:t>
      </w:r>
    </w:p>
    <w:p w14:paraId="289207E5" w14:textId="36C269D3" w:rsidR="00586833" w:rsidRPr="00F043DF" w:rsidRDefault="00A6624E" w:rsidP="00F043DF">
      <w:pPr>
        <w:jc w:val="both"/>
        <w:rPr>
          <w:rFonts w:ascii="Theinhardt Regular" w:hAnsi="Theinhardt Regular"/>
        </w:rPr>
      </w:pPr>
      <w:r w:rsidRPr="00F043DF">
        <w:rPr>
          <w:rFonts w:ascii="Theinhardt Regular" w:hAnsi="Theinhardt Regular"/>
        </w:rPr>
        <w:t xml:space="preserve">The </w:t>
      </w:r>
      <w:r w:rsidR="008B07A6">
        <w:rPr>
          <w:rFonts w:ascii="Theinhardt Regular" w:hAnsi="Theinhardt Regular"/>
        </w:rPr>
        <w:t>Firm</w:t>
      </w:r>
      <w:r w:rsidRPr="00F043DF">
        <w:rPr>
          <w:rFonts w:ascii="Theinhardt Regular" w:hAnsi="Theinhardt Regular"/>
        </w:rPr>
        <w:t xml:space="preserve"> does not sell, share, or disclose your personal information to non</w:t>
      </w:r>
      <w:r w:rsidRPr="00F043DF">
        <w:rPr>
          <w:rFonts w:ascii="Cambria Math" w:hAnsi="Cambria Math" w:cs="Cambria Math"/>
        </w:rPr>
        <w:t>‑</w:t>
      </w:r>
      <w:r w:rsidRPr="00F043DF">
        <w:rPr>
          <w:rFonts w:ascii="Theinhardt Regular" w:hAnsi="Theinhardt Regular"/>
        </w:rPr>
        <w:t>affiliated third</w:t>
      </w:r>
      <w:r w:rsidRPr="00F043DF">
        <w:rPr>
          <w:rFonts w:ascii="Cambria Math" w:hAnsi="Cambria Math" w:cs="Cambria Math"/>
        </w:rPr>
        <w:t>‑</w:t>
      </w:r>
      <w:r w:rsidRPr="00F043DF">
        <w:rPr>
          <w:rFonts w:ascii="Theinhardt Regular" w:hAnsi="Theinhardt Regular"/>
        </w:rPr>
        <w:t xml:space="preserve">party marketing companies. All such companies are contractually obligated to keep the information confidential and to use it only as permitted by law or regulation. The </w:t>
      </w:r>
      <w:r w:rsidR="008B07A6">
        <w:rPr>
          <w:rFonts w:ascii="Theinhardt Regular" w:hAnsi="Theinhardt Regular"/>
        </w:rPr>
        <w:t>Firm</w:t>
      </w:r>
      <w:r w:rsidRPr="00F043DF">
        <w:rPr>
          <w:rFonts w:ascii="Theinhardt Regular" w:hAnsi="Theinhardt Regular"/>
        </w:rPr>
        <w:t xml:space="preserve"> may also disclose your personal information as permitted or required by law—for example, to process transactions on your behalf, conduct operations, follow your instructions, protect the security of records, respond to regulatory inquiries, or comply with legal process. To the extent that applicable state laws grant you greater protections, the </w:t>
      </w:r>
      <w:r w:rsidR="008B07A6">
        <w:rPr>
          <w:rFonts w:ascii="Theinhardt Regular" w:hAnsi="Theinhardt Regular"/>
        </w:rPr>
        <w:t>Firm</w:t>
      </w:r>
      <w:r w:rsidRPr="00F043DF">
        <w:rPr>
          <w:rFonts w:ascii="Theinhardt Regular" w:hAnsi="Theinhardt Regular"/>
        </w:rPr>
        <w:t xml:space="preserve"> will comply with those laws.</w:t>
      </w:r>
    </w:p>
    <w:p w14:paraId="0545AC12" w14:textId="77777777" w:rsidR="00586833" w:rsidRPr="007C500B" w:rsidRDefault="00A6624E" w:rsidP="00F043DF">
      <w:pPr>
        <w:jc w:val="both"/>
        <w:rPr>
          <w:rFonts w:ascii="Theinhardt Regular" w:hAnsi="Theinhardt Regular"/>
          <w:b/>
          <w:bCs/>
          <w:sz w:val="28"/>
          <w:szCs w:val="28"/>
        </w:rPr>
      </w:pPr>
      <w:r w:rsidRPr="007C500B">
        <w:rPr>
          <w:rFonts w:ascii="Theinhardt Regular" w:hAnsi="Theinhardt Regular"/>
          <w:b/>
          <w:bCs/>
          <w:sz w:val="28"/>
          <w:szCs w:val="28"/>
        </w:rPr>
        <w:t>Disclosing Personal Information to Affiliates</w:t>
      </w:r>
    </w:p>
    <w:p w14:paraId="5CE6D3C7" w14:textId="6FFECAED" w:rsidR="00586833" w:rsidRPr="00F043DF" w:rsidRDefault="00A6624E" w:rsidP="00F043DF">
      <w:pPr>
        <w:jc w:val="both"/>
        <w:rPr>
          <w:rFonts w:ascii="Theinhardt Regular" w:hAnsi="Theinhardt Regular"/>
        </w:rPr>
      </w:pPr>
      <w:r w:rsidRPr="00F043DF">
        <w:rPr>
          <w:rFonts w:ascii="Theinhardt Regular" w:hAnsi="Theinhardt Regular"/>
        </w:rPr>
        <w:t xml:space="preserve">On occasion, and only with your specific consent, the </w:t>
      </w:r>
      <w:r w:rsidR="008B07A6">
        <w:rPr>
          <w:rFonts w:ascii="Theinhardt Regular" w:hAnsi="Theinhardt Regular"/>
        </w:rPr>
        <w:t>Firm</w:t>
      </w:r>
      <w:r w:rsidRPr="00F043DF">
        <w:rPr>
          <w:rFonts w:ascii="Theinhardt Regular" w:hAnsi="Theinhardt Regular"/>
        </w:rPr>
        <w:t xml:space="preserve"> may provide your name and contact information to a prospective client for purposes of serving as a reference. No client is obligated to act as a reference, and this will only occur with prior written approval.</w:t>
      </w:r>
    </w:p>
    <w:p w14:paraId="1E575DB3" w14:textId="169D561C" w:rsidR="00586833" w:rsidRPr="00F043DF" w:rsidRDefault="00A6624E" w:rsidP="00F043DF">
      <w:pPr>
        <w:jc w:val="both"/>
        <w:rPr>
          <w:rFonts w:ascii="Theinhardt Regular" w:hAnsi="Theinhardt Regular"/>
        </w:rPr>
      </w:pPr>
      <w:r w:rsidRPr="00F043DF">
        <w:rPr>
          <w:rFonts w:ascii="Theinhardt Regular" w:hAnsi="Theinhardt Regular"/>
        </w:rPr>
        <w:t xml:space="preserve">The </w:t>
      </w:r>
      <w:r w:rsidR="008B07A6">
        <w:rPr>
          <w:rFonts w:ascii="Theinhardt Regular" w:hAnsi="Theinhardt Regular"/>
        </w:rPr>
        <w:t>Firm</w:t>
      </w:r>
      <w:r w:rsidRPr="00F043DF">
        <w:rPr>
          <w:rFonts w:ascii="Theinhardt Regular" w:hAnsi="Theinhardt Regular"/>
        </w:rPr>
        <w:t xml:space="preserve"> does not share your personal information with its affiliated companies, if any, for their marketing purposes. However, the </w:t>
      </w:r>
      <w:r w:rsidR="008B07A6">
        <w:rPr>
          <w:rFonts w:ascii="Theinhardt Regular" w:hAnsi="Theinhardt Regular"/>
        </w:rPr>
        <w:t>Firm</w:t>
      </w:r>
      <w:r w:rsidRPr="00F043DF">
        <w:rPr>
          <w:rFonts w:ascii="Theinhardt Regular" w:hAnsi="Theinhardt Regular"/>
        </w:rPr>
        <w:t xml:space="preserve"> may share within its family of affiliated </w:t>
      </w:r>
      <w:proofErr w:type="gramStart"/>
      <w:r w:rsidRPr="00F043DF">
        <w:rPr>
          <w:rFonts w:ascii="Theinhardt Regular" w:hAnsi="Theinhardt Regular"/>
        </w:rPr>
        <w:t>companies</w:t>
      </w:r>
      <w:proofErr w:type="gramEnd"/>
      <w:r w:rsidRPr="00F043DF">
        <w:rPr>
          <w:rFonts w:ascii="Theinhardt Regular" w:hAnsi="Theinhardt Regular"/>
        </w:rPr>
        <w:t xml:space="preserve"> information about the </w:t>
      </w:r>
      <w:r w:rsidR="008B07A6">
        <w:rPr>
          <w:rFonts w:ascii="Theinhardt Regular" w:hAnsi="Theinhardt Regular"/>
        </w:rPr>
        <w:t>Firm</w:t>
      </w:r>
      <w:r w:rsidRPr="00F043DF">
        <w:rPr>
          <w:rFonts w:ascii="Theinhardt Regular" w:hAnsi="Theinhardt Regular"/>
        </w:rPr>
        <w:t xml:space="preserve">’s transactions or experiences with you (e.g., your name, Social Security number, account or payment history, and </w:t>
      </w:r>
      <w:r w:rsidRPr="00F043DF">
        <w:rPr>
          <w:rFonts w:ascii="Theinhardt Regular" w:hAnsi="Theinhardt Regular"/>
        </w:rPr>
        <w:lastRenderedPageBreak/>
        <w:t xml:space="preserve">similar information). Affiliates may use such information to perform services on the </w:t>
      </w:r>
      <w:r w:rsidR="008B07A6">
        <w:rPr>
          <w:rFonts w:ascii="Theinhardt Regular" w:hAnsi="Theinhardt Regular"/>
        </w:rPr>
        <w:t>Firm</w:t>
      </w:r>
      <w:r w:rsidRPr="00F043DF">
        <w:rPr>
          <w:rFonts w:ascii="Theinhardt Regular" w:hAnsi="Theinhardt Regular"/>
        </w:rPr>
        <w:t>’s behalf, respond to your communications, or, if you are their customer, offer you their products or services, as permitted by law.</w:t>
      </w:r>
    </w:p>
    <w:p w14:paraId="18B25ECB" w14:textId="099D62D4" w:rsidR="00586833" w:rsidRPr="007C500B" w:rsidRDefault="00A6624E" w:rsidP="00F043DF">
      <w:pPr>
        <w:jc w:val="both"/>
        <w:rPr>
          <w:rFonts w:ascii="Theinhardt Regular" w:hAnsi="Theinhardt Regular"/>
          <w:b/>
          <w:bCs/>
          <w:sz w:val="28"/>
          <w:szCs w:val="28"/>
        </w:rPr>
      </w:pPr>
      <w:r w:rsidRPr="007C500B">
        <w:rPr>
          <w:rFonts w:ascii="Theinhardt Regular" w:hAnsi="Theinhardt Regular"/>
          <w:b/>
          <w:bCs/>
          <w:sz w:val="28"/>
          <w:szCs w:val="28"/>
        </w:rPr>
        <w:t xml:space="preserve">If Your Relationship with the </w:t>
      </w:r>
      <w:r w:rsidR="008B07A6">
        <w:rPr>
          <w:rFonts w:ascii="Theinhardt Regular" w:hAnsi="Theinhardt Regular"/>
          <w:b/>
          <w:bCs/>
          <w:sz w:val="28"/>
          <w:szCs w:val="28"/>
        </w:rPr>
        <w:t>Firm</w:t>
      </w:r>
      <w:r w:rsidRPr="007C500B">
        <w:rPr>
          <w:rFonts w:ascii="Theinhardt Regular" w:hAnsi="Theinhardt Regular"/>
          <w:b/>
          <w:bCs/>
          <w:sz w:val="28"/>
          <w:szCs w:val="28"/>
        </w:rPr>
        <w:t xml:space="preserve"> Ends</w:t>
      </w:r>
    </w:p>
    <w:p w14:paraId="0DEB3F28" w14:textId="71BB09A8" w:rsidR="00586833" w:rsidRPr="00F043DF" w:rsidRDefault="00A6624E" w:rsidP="00F043DF">
      <w:pPr>
        <w:jc w:val="both"/>
        <w:rPr>
          <w:rFonts w:ascii="Theinhardt Regular" w:hAnsi="Theinhardt Regular"/>
        </w:rPr>
      </w:pPr>
      <w:r w:rsidRPr="00F043DF">
        <w:rPr>
          <w:rFonts w:ascii="Theinhardt Regular" w:hAnsi="Theinhardt Regular"/>
        </w:rPr>
        <w:t xml:space="preserve">The </w:t>
      </w:r>
      <w:r w:rsidR="008B07A6">
        <w:rPr>
          <w:rFonts w:ascii="Theinhardt Regular" w:hAnsi="Theinhardt Regular"/>
        </w:rPr>
        <w:t>Firm</w:t>
      </w:r>
      <w:r w:rsidRPr="00F043DF">
        <w:rPr>
          <w:rFonts w:ascii="Theinhardt Regular" w:hAnsi="Theinhardt Regular"/>
        </w:rPr>
        <w:t xml:space="preserve"> affords prospective clients the same protections as current and former clients with respect to the use of personal information.</w:t>
      </w:r>
    </w:p>
    <w:p w14:paraId="14E297DB" w14:textId="7992B39F" w:rsidR="00586833" w:rsidRPr="00F043DF" w:rsidRDefault="00A6624E" w:rsidP="00F043DF">
      <w:pPr>
        <w:jc w:val="both"/>
        <w:rPr>
          <w:rFonts w:ascii="Theinhardt Regular" w:hAnsi="Theinhardt Regular"/>
        </w:rPr>
      </w:pPr>
      <w:r w:rsidRPr="00F043DF">
        <w:rPr>
          <w:rFonts w:ascii="Theinhardt Regular" w:hAnsi="Theinhardt Regular"/>
        </w:rPr>
        <w:t xml:space="preserve">If your relationship with the </w:t>
      </w:r>
      <w:r w:rsidR="008B07A6">
        <w:rPr>
          <w:rFonts w:ascii="Theinhardt Regular" w:hAnsi="Theinhardt Regular"/>
        </w:rPr>
        <w:t>Firm</w:t>
      </w:r>
      <w:r w:rsidRPr="00F043DF">
        <w:rPr>
          <w:rFonts w:ascii="Theinhardt Regular" w:hAnsi="Theinhardt Regular"/>
        </w:rPr>
        <w:t xml:space="preserve"> ends, the </w:t>
      </w:r>
      <w:r w:rsidR="008B07A6">
        <w:rPr>
          <w:rFonts w:ascii="Theinhardt Regular" w:hAnsi="Theinhardt Regular"/>
        </w:rPr>
        <w:t>Firm</w:t>
      </w:r>
      <w:r w:rsidRPr="00F043DF">
        <w:rPr>
          <w:rFonts w:ascii="Theinhardt Regular" w:hAnsi="Theinhardt Regular"/>
        </w:rPr>
        <w:t xml:space="preserve"> will continue to treat and protect your personal information in accordance with this Privacy Notice. The </w:t>
      </w:r>
      <w:r w:rsidR="008B07A6">
        <w:rPr>
          <w:rFonts w:ascii="Theinhardt Regular" w:hAnsi="Theinhardt Regular"/>
        </w:rPr>
        <w:t>Firm</w:t>
      </w:r>
      <w:r w:rsidRPr="00F043DF">
        <w:rPr>
          <w:rFonts w:ascii="Theinhardt Regular" w:hAnsi="Theinhardt Regular"/>
        </w:rPr>
        <w:t xml:space="preserve"> may continue to share your personal information with service providers and, if applicable, affiliates as previously described or as permitted by law. If you notify the </w:t>
      </w:r>
      <w:r w:rsidR="008B07A6">
        <w:rPr>
          <w:rFonts w:ascii="Theinhardt Regular" w:hAnsi="Theinhardt Regular"/>
        </w:rPr>
        <w:t>Firm</w:t>
      </w:r>
      <w:r w:rsidRPr="00F043DF">
        <w:rPr>
          <w:rFonts w:ascii="Theinhardt Regular" w:hAnsi="Theinhardt Regular"/>
        </w:rPr>
        <w:t xml:space="preserve"> of your election to limit certain sharing before or after your relationship ends, the </w:t>
      </w:r>
      <w:r w:rsidR="008B07A6">
        <w:rPr>
          <w:rFonts w:ascii="Theinhardt Regular" w:hAnsi="Theinhardt Regular"/>
        </w:rPr>
        <w:t>Firm</w:t>
      </w:r>
      <w:r w:rsidRPr="00F043DF">
        <w:rPr>
          <w:rFonts w:ascii="Theinhardt Regular" w:hAnsi="Theinhardt Regular"/>
        </w:rPr>
        <w:t xml:space="preserve"> will honor that request to the extent required by law.</w:t>
      </w:r>
    </w:p>
    <w:p w14:paraId="28FD9C59" w14:textId="77777777" w:rsidR="00586833" w:rsidRPr="007C500B" w:rsidRDefault="00A6624E" w:rsidP="00F043DF">
      <w:pPr>
        <w:jc w:val="both"/>
        <w:rPr>
          <w:rFonts w:ascii="Theinhardt Regular" w:hAnsi="Theinhardt Regular"/>
          <w:b/>
          <w:bCs/>
          <w:sz w:val="28"/>
          <w:szCs w:val="28"/>
        </w:rPr>
      </w:pPr>
      <w:r w:rsidRPr="007C500B">
        <w:rPr>
          <w:rFonts w:ascii="Theinhardt Regular" w:hAnsi="Theinhardt Regular"/>
          <w:b/>
          <w:bCs/>
          <w:sz w:val="28"/>
          <w:szCs w:val="28"/>
        </w:rPr>
        <w:t>Changes to This Privacy Notice</w:t>
      </w:r>
    </w:p>
    <w:p w14:paraId="2463BB5B" w14:textId="41EAD6AC" w:rsidR="00586833" w:rsidRPr="00F043DF" w:rsidRDefault="00A6624E" w:rsidP="00F043DF">
      <w:pPr>
        <w:jc w:val="both"/>
        <w:rPr>
          <w:rFonts w:ascii="Theinhardt Regular" w:hAnsi="Theinhardt Regular"/>
        </w:rPr>
      </w:pPr>
      <w:r w:rsidRPr="00F043DF">
        <w:rPr>
          <w:rFonts w:ascii="Theinhardt Regular" w:hAnsi="Theinhardt Regular"/>
        </w:rPr>
        <w:t xml:space="preserve">The </w:t>
      </w:r>
      <w:r w:rsidR="008B07A6">
        <w:rPr>
          <w:rFonts w:ascii="Theinhardt Regular" w:hAnsi="Theinhardt Regular"/>
        </w:rPr>
        <w:t>Firm</w:t>
      </w:r>
      <w:r w:rsidRPr="00F043DF">
        <w:rPr>
          <w:rFonts w:ascii="Theinhardt Regular" w:hAnsi="Theinhardt Regular"/>
        </w:rPr>
        <w:t xml:space="preserve"> reserves the right to amend (add to, delete from, or change) the terms of this Privacy Notice from time to time. The current Privacy Notice will be posted on the </w:t>
      </w:r>
      <w:r w:rsidR="008B07A6">
        <w:rPr>
          <w:rFonts w:ascii="Theinhardt Regular" w:hAnsi="Theinhardt Regular"/>
        </w:rPr>
        <w:t>Firm</w:t>
      </w:r>
      <w:r w:rsidRPr="00F043DF">
        <w:rPr>
          <w:rFonts w:ascii="Theinhardt Regular" w:hAnsi="Theinhardt Regular"/>
        </w:rPr>
        <w:t xml:space="preserve">’s website. Unless you notify the </w:t>
      </w:r>
      <w:r w:rsidR="008B07A6">
        <w:rPr>
          <w:rFonts w:ascii="Theinhardt Regular" w:hAnsi="Theinhardt Regular"/>
        </w:rPr>
        <w:t>Firm</w:t>
      </w:r>
      <w:r w:rsidRPr="00F043DF">
        <w:rPr>
          <w:rFonts w:ascii="Theinhardt Regular" w:hAnsi="Theinhardt Regular"/>
        </w:rPr>
        <w:t xml:space="preserve"> otherwise in writing, you agree to receive copies of the Privacy Notice and any amendments from the website. Notwithstanding the foregoing, the </w:t>
      </w:r>
      <w:r w:rsidR="008B07A6">
        <w:rPr>
          <w:rFonts w:ascii="Theinhardt Regular" w:hAnsi="Theinhardt Regular"/>
        </w:rPr>
        <w:t>Firm</w:t>
      </w:r>
      <w:r w:rsidRPr="00F043DF">
        <w:rPr>
          <w:rFonts w:ascii="Theinhardt Regular" w:hAnsi="Theinhardt Regular"/>
        </w:rPr>
        <w:t xml:space="preserve"> will provide you with a written copy of this Privacy Notice at least annually.</w:t>
      </w:r>
    </w:p>
    <w:p w14:paraId="21174E4E" w14:textId="77777777" w:rsidR="00586833" w:rsidRPr="007C500B" w:rsidRDefault="00A6624E" w:rsidP="00F043DF">
      <w:pPr>
        <w:jc w:val="both"/>
        <w:rPr>
          <w:rFonts w:ascii="Theinhardt Regular" w:hAnsi="Theinhardt Regular"/>
          <w:b/>
          <w:bCs/>
          <w:sz w:val="28"/>
          <w:szCs w:val="28"/>
        </w:rPr>
      </w:pPr>
      <w:r w:rsidRPr="007C500B">
        <w:rPr>
          <w:rFonts w:ascii="Theinhardt Regular" w:hAnsi="Theinhardt Regular"/>
          <w:b/>
          <w:bCs/>
          <w:sz w:val="28"/>
          <w:szCs w:val="28"/>
        </w:rPr>
        <w:t>Additional State Opt</w:t>
      </w:r>
      <w:r w:rsidRPr="007C500B">
        <w:rPr>
          <w:rFonts w:ascii="Cambria Math" w:hAnsi="Cambria Math" w:cs="Cambria Math"/>
          <w:b/>
          <w:bCs/>
          <w:sz w:val="28"/>
          <w:szCs w:val="28"/>
        </w:rPr>
        <w:t>‑</w:t>
      </w:r>
      <w:r w:rsidRPr="007C500B">
        <w:rPr>
          <w:rFonts w:ascii="Theinhardt Regular" w:hAnsi="Theinhardt Regular"/>
          <w:b/>
          <w:bCs/>
          <w:sz w:val="28"/>
          <w:szCs w:val="28"/>
        </w:rPr>
        <w:t>Out Information</w:t>
      </w:r>
    </w:p>
    <w:p w14:paraId="1623BB50" w14:textId="7FEB0031" w:rsidR="00586833" w:rsidRPr="00F043DF" w:rsidRDefault="00A6624E" w:rsidP="00F043DF">
      <w:pPr>
        <w:jc w:val="both"/>
        <w:rPr>
          <w:rFonts w:ascii="Theinhardt Regular" w:hAnsi="Theinhardt Regular"/>
        </w:rPr>
      </w:pPr>
      <w:r w:rsidRPr="00F043DF">
        <w:rPr>
          <w:rFonts w:ascii="Theinhardt Regular" w:hAnsi="Theinhardt Regular"/>
        </w:rPr>
        <w:t>The information</w:t>
      </w:r>
      <w:r w:rsidRPr="00F043DF">
        <w:rPr>
          <w:rFonts w:ascii="Cambria Math" w:hAnsi="Cambria Math" w:cs="Cambria Math"/>
        </w:rPr>
        <w:t>‑</w:t>
      </w:r>
      <w:r w:rsidRPr="00F043DF">
        <w:rPr>
          <w:rFonts w:ascii="Theinhardt Regular" w:hAnsi="Theinhardt Regular"/>
        </w:rPr>
        <w:t>sharing practices described in this Privacy Notice are consistent with federal law. In states where additional notification or consent is required for an effective opt</w:t>
      </w:r>
      <w:r w:rsidRPr="00F043DF">
        <w:rPr>
          <w:rFonts w:ascii="Cambria Math" w:hAnsi="Cambria Math" w:cs="Cambria Math"/>
        </w:rPr>
        <w:t>‑</w:t>
      </w:r>
      <w:r w:rsidRPr="00F043DF">
        <w:rPr>
          <w:rFonts w:ascii="Theinhardt Regular" w:hAnsi="Theinhardt Regular"/>
        </w:rPr>
        <w:t xml:space="preserve">out, the </w:t>
      </w:r>
      <w:r w:rsidR="008B07A6">
        <w:rPr>
          <w:rFonts w:ascii="Theinhardt Regular" w:hAnsi="Theinhardt Regular"/>
        </w:rPr>
        <w:t>Firm</w:t>
      </w:r>
      <w:r w:rsidRPr="00F043DF">
        <w:rPr>
          <w:rFonts w:ascii="Theinhardt Regular" w:hAnsi="Theinhardt Regular"/>
        </w:rPr>
        <w:t xml:space="preserve"> will contact you separately regarding </w:t>
      </w:r>
      <w:proofErr w:type="gramStart"/>
      <w:r w:rsidRPr="00F043DF">
        <w:rPr>
          <w:rFonts w:ascii="Theinhardt Regular" w:hAnsi="Theinhardt Regular"/>
        </w:rPr>
        <w:t>your</w:t>
      </w:r>
      <w:proofErr w:type="gramEnd"/>
      <w:r w:rsidRPr="00F043DF">
        <w:rPr>
          <w:rFonts w:ascii="Theinhardt Regular" w:hAnsi="Theinhardt Regular"/>
        </w:rPr>
        <w:t xml:space="preserve"> opt</w:t>
      </w:r>
      <w:r w:rsidRPr="00F043DF">
        <w:rPr>
          <w:rFonts w:ascii="Cambria Math" w:hAnsi="Cambria Math" w:cs="Cambria Math"/>
        </w:rPr>
        <w:t>‑</w:t>
      </w:r>
      <w:r w:rsidRPr="00F043DF">
        <w:rPr>
          <w:rFonts w:ascii="Theinhardt Regular" w:hAnsi="Theinhardt Regular"/>
        </w:rPr>
        <w:t>out choices.</w:t>
      </w:r>
    </w:p>
    <w:p w14:paraId="73D5AFA5" w14:textId="77777777" w:rsidR="00586833" w:rsidRPr="007C500B" w:rsidRDefault="00A6624E" w:rsidP="00F043DF">
      <w:pPr>
        <w:jc w:val="both"/>
        <w:rPr>
          <w:rFonts w:ascii="Theinhardt Regular" w:hAnsi="Theinhardt Regular"/>
          <w:b/>
          <w:bCs/>
          <w:sz w:val="28"/>
          <w:szCs w:val="28"/>
        </w:rPr>
      </w:pPr>
      <w:r w:rsidRPr="007C500B">
        <w:rPr>
          <w:rFonts w:ascii="Theinhardt Regular" w:hAnsi="Theinhardt Regular"/>
          <w:b/>
          <w:bCs/>
          <w:sz w:val="28"/>
          <w:szCs w:val="28"/>
        </w:rPr>
        <w:t>View and Change Your Personal Information; Right to Access and Correct</w:t>
      </w:r>
    </w:p>
    <w:p w14:paraId="67C046FF" w14:textId="7179B1B4" w:rsidR="00586833" w:rsidRPr="00F043DF" w:rsidRDefault="00A6624E" w:rsidP="00F043DF">
      <w:pPr>
        <w:jc w:val="both"/>
        <w:rPr>
          <w:rFonts w:ascii="Theinhardt Regular" w:hAnsi="Theinhardt Regular"/>
        </w:rPr>
      </w:pPr>
      <w:r w:rsidRPr="00F043DF">
        <w:rPr>
          <w:rFonts w:ascii="Theinhardt Regular" w:hAnsi="Theinhardt Regular"/>
        </w:rPr>
        <w:t xml:space="preserve">You may review the personal information the </w:t>
      </w:r>
      <w:r w:rsidR="008B07A6">
        <w:rPr>
          <w:rFonts w:ascii="Theinhardt Regular" w:hAnsi="Theinhardt Regular"/>
        </w:rPr>
        <w:t>Firm</w:t>
      </w:r>
      <w:r w:rsidRPr="00F043DF">
        <w:rPr>
          <w:rFonts w:ascii="Theinhardt Regular" w:hAnsi="Theinhardt Regular"/>
        </w:rPr>
        <w:t xml:space="preserve"> maintains about you and request corrections. You may also request a copy of such information. If you believe the information is incomplete or incorrect, you may request that the </w:t>
      </w:r>
      <w:r w:rsidR="008B07A6">
        <w:rPr>
          <w:rFonts w:ascii="Theinhardt Regular" w:hAnsi="Theinhardt Regular"/>
        </w:rPr>
        <w:t>Firm</w:t>
      </w:r>
      <w:r w:rsidRPr="00F043DF">
        <w:rPr>
          <w:rFonts w:ascii="Theinhardt Regular" w:hAnsi="Theinhardt Regular"/>
        </w:rPr>
        <w:t xml:space="preserve"> complete or correct it. The </w:t>
      </w:r>
      <w:r w:rsidR="008B07A6">
        <w:rPr>
          <w:rFonts w:ascii="Theinhardt Regular" w:hAnsi="Theinhardt Regular"/>
        </w:rPr>
        <w:t>Firm</w:t>
      </w:r>
      <w:r w:rsidRPr="00F043DF">
        <w:rPr>
          <w:rFonts w:ascii="Theinhardt Regular" w:hAnsi="Theinhardt Regular"/>
        </w:rPr>
        <w:t xml:space="preserve"> will review your request and either make the requested change or explain why it did not do so. If the </w:t>
      </w:r>
      <w:r w:rsidR="008B07A6">
        <w:rPr>
          <w:rFonts w:ascii="Theinhardt Regular" w:hAnsi="Theinhardt Regular"/>
        </w:rPr>
        <w:t>Firm</w:t>
      </w:r>
      <w:r w:rsidRPr="00F043DF">
        <w:rPr>
          <w:rFonts w:ascii="Theinhardt Regular" w:hAnsi="Theinhardt Regular"/>
        </w:rPr>
        <w:t xml:space="preserve"> does not make the change, you may submit a written statement of dispute, which the </w:t>
      </w:r>
      <w:r w:rsidR="008B07A6">
        <w:rPr>
          <w:rFonts w:ascii="Theinhardt Regular" w:hAnsi="Theinhardt Regular"/>
        </w:rPr>
        <w:t>Firm</w:t>
      </w:r>
      <w:r w:rsidRPr="00F043DF">
        <w:rPr>
          <w:rFonts w:ascii="Theinhardt Regular" w:hAnsi="Theinhardt Regular"/>
        </w:rPr>
        <w:t xml:space="preserve"> will include in future disclosures of that information and send to anyone you request who received your information from the </w:t>
      </w:r>
      <w:r w:rsidR="008B07A6">
        <w:rPr>
          <w:rFonts w:ascii="Theinhardt Regular" w:hAnsi="Theinhardt Regular"/>
        </w:rPr>
        <w:t>Firm</w:t>
      </w:r>
      <w:r w:rsidRPr="00F043DF">
        <w:rPr>
          <w:rFonts w:ascii="Theinhardt Regular" w:hAnsi="Theinhardt Regular"/>
        </w:rPr>
        <w:t xml:space="preserve"> in the past two (2) years. To protect your privacy, the </w:t>
      </w:r>
      <w:r w:rsidR="008B07A6">
        <w:rPr>
          <w:rFonts w:ascii="Theinhardt Regular" w:hAnsi="Theinhardt Regular"/>
        </w:rPr>
        <w:t>Firm</w:t>
      </w:r>
      <w:r w:rsidRPr="00F043DF">
        <w:rPr>
          <w:rFonts w:ascii="Theinhardt Regular" w:hAnsi="Theinhardt Regular"/>
        </w:rPr>
        <w:t xml:space="preserve"> may ask you to verify your identity and provide details to respond to your request. A reasonable fee may be charged to collect and send copies of information to you, where permitted by law.</w:t>
      </w:r>
    </w:p>
    <w:p w14:paraId="5670A0CB" w14:textId="63ECA897" w:rsidR="00586833" w:rsidRPr="007C500B" w:rsidRDefault="00A6624E" w:rsidP="00F043DF">
      <w:pPr>
        <w:jc w:val="both"/>
        <w:rPr>
          <w:rFonts w:ascii="Theinhardt Regular" w:hAnsi="Theinhardt Regular"/>
          <w:b/>
          <w:bCs/>
          <w:sz w:val="28"/>
          <w:szCs w:val="28"/>
        </w:rPr>
      </w:pPr>
      <w:r w:rsidRPr="007C500B">
        <w:rPr>
          <w:rFonts w:ascii="Theinhardt Regular" w:hAnsi="Theinhardt Regular"/>
          <w:b/>
          <w:bCs/>
          <w:sz w:val="28"/>
          <w:szCs w:val="28"/>
        </w:rPr>
        <w:t xml:space="preserve">How to Contact the </w:t>
      </w:r>
      <w:r w:rsidR="008B07A6">
        <w:rPr>
          <w:rFonts w:ascii="Theinhardt Regular" w:hAnsi="Theinhardt Regular"/>
          <w:b/>
          <w:bCs/>
          <w:sz w:val="28"/>
          <w:szCs w:val="28"/>
        </w:rPr>
        <w:t>Firm</w:t>
      </w:r>
    </w:p>
    <w:p w14:paraId="2AD56947" w14:textId="409151BE" w:rsidR="00DC2105" w:rsidRPr="00F043DF" w:rsidRDefault="008B07A6" w:rsidP="00F043DF">
      <w:pPr>
        <w:jc w:val="both"/>
        <w:rPr>
          <w:rFonts w:ascii="Theinhardt Regular" w:hAnsi="Theinhardt Regular"/>
        </w:rPr>
      </w:pPr>
      <w:r>
        <w:rPr>
          <w:rFonts w:ascii="Theinhardt Regular" w:hAnsi="Theinhardt Regular"/>
        </w:rPr>
        <w:lastRenderedPageBreak/>
        <w:t>Firm</w:t>
      </w:r>
      <w:r w:rsidR="00DC2105" w:rsidRPr="00F043DF">
        <w:rPr>
          <w:rFonts w:ascii="Theinhardt Regular" w:hAnsi="Theinhardt Regular"/>
        </w:rPr>
        <w:t xml:space="preserve"> Address &amp; Contact: 912 Drew St Ste 202, Clearwater, FL 33755 | 646-662-7061 | tapaprivatewealth.com | </w:t>
      </w:r>
      <w:hyperlink r:id="rId6" w:history="1">
        <w:r w:rsidR="00DC2105" w:rsidRPr="00F043DF">
          <w:rPr>
            <w:rStyle w:val="Hyperlink"/>
            <w:rFonts w:ascii="Theinhardt Regular" w:hAnsi="Theinhardt Regular"/>
          </w:rPr>
          <w:t>info@tapaprivatewealth.com</w:t>
        </w:r>
      </w:hyperlink>
    </w:p>
    <w:p w14:paraId="4A875E96" w14:textId="121AD7CC" w:rsidR="00586833" w:rsidRPr="007C500B" w:rsidRDefault="00A6624E" w:rsidP="00F043DF">
      <w:pPr>
        <w:jc w:val="both"/>
        <w:rPr>
          <w:rFonts w:ascii="Theinhardt Regular" w:hAnsi="Theinhardt Regular"/>
          <w:b/>
          <w:bCs/>
          <w:sz w:val="28"/>
          <w:szCs w:val="28"/>
        </w:rPr>
      </w:pPr>
      <w:r w:rsidRPr="007C500B">
        <w:rPr>
          <w:rFonts w:ascii="Theinhardt Regular" w:hAnsi="Theinhardt Regular"/>
          <w:b/>
          <w:bCs/>
          <w:sz w:val="28"/>
          <w:szCs w:val="28"/>
        </w:rPr>
        <w:t>Privacy Choices Notice (Opt</w:t>
      </w:r>
      <w:r w:rsidRPr="007C500B">
        <w:rPr>
          <w:rFonts w:ascii="Cambria Math" w:hAnsi="Cambria Math" w:cs="Cambria Math"/>
          <w:b/>
          <w:bCs/>
          <w:sz w:val="28"/>
          <w:szCs w:val="28"/>
        </w:rPr>
        <w:t>‑</w:t>
      </w:r>
      <w:r w:rsidRPr="007C500B">
        <w:rPr>
          <w:rFonts w:ascii="Theinhardt Regular" w:hAnsi="Theinhardt Regular"/>
          <w:b/>
          <w:bCs/>
          <w:sz w:val="28"/>
          <w:szCs w:val="28"/>
        </w:rPr>
        <w:t>Out/Limit Sharing Request)</w:t>
      </w:r>
    </w:p>
    <w:p w14:paraId="464480DA" w14:textId="46DDBF62" w:rsidR="00586833" w:rsidRPr="00F043DF" w:rsidRDefault="00A6624E" w:rsidP="00F043DF">
      <w:pPr>
        <w:jc w:val="both"/>
        <w:rPr>
          <w:rFonts w:ascii="Theinhardt Regular" w:hAnsi="Theinhardt Regular"/>
        </w:rPr>
      </w:pPr>
      <w:r w:rsidRPr="00F043DF">
        <w:rPr>
          <w:rFonts w:ascii="Theinhardt Regular" w:hAnsi="Theinhardt Regular"/>
        </w:rPr>
        <w:t xml:space="preserve">If you would like to limit the personal information that your financial advisor discloses or takes with him or her to another brokerage or investment advisory </w:t>
      </w:r>
      <w:r w:rsidR="008B07A6">
        <w:rPr>
          <w:rFonts w:ascii="Theinhardt Regular" w:hAnsi="Theinhardt Regular"/>
        </w:rPr>
        <w:t>Firm</w:t>
      </w:r>
      <w:r w:rsidRPr="00F043DF">
        <w:rPr>
          <w:rFonts w:ascii="Theinhardt Regular" w:hAnsi="Theinhardt Regular"/>
        </w:rPr>
        <w:t xml:space="preserve"> upon the termination of his or her relationship with the </w:t>
      </w:r>
      <w:r w:rsidR="008B07A6">
        <w:rPr>
          <w:rFonts w:ascii="Theinhardt Regular" w:hAnsi="Theinhardt Regular"/>
        </w:rPr>
        <w:t>Firm</w:t>
      </w:r>
      <w:r w:rsidRPr="00F043DF">
        <w:rPr>
          <w:rFonts w:ascii="Theinhardt Regular" w:hAnsi="Theinhardt Regular"/>
        </w:rPr>
        <w:t xml:space="preserve">, complete and return this form to the </w:t>
      </w:r>
      <w:r w:rsidR="008B07A6">
        <w:rPr>
          <w:rFonts w:ascii="Theinhardt Regular" w:hAnsi="Theinhardt Regular"/>
        </w:rPr>
        <w:t>Firm</w:t>
      </w:r>
      <w:r w:rsidRPr="00F043DF">
        <w:rPr>
          <w:rFonts w:ascii="Theinhardt Regular" w:hAnsi="Theinhardt Regular"/>
        </w:rPr>
        <w:t xml:space="preserve"> at the address above.</w:t>
      </w:r>
    </w:p>
    <w:p w14:paraId="4D0FF54D" w14:textId="654D7FD3" w:rsidR="00586833" w:rsidRPr="00F043DF" w:rsidRDefault="00A6624E" w:rsidP="00F043DF">
      <w:pPr>
        <w:jc w:val="both"/>
        <w:rPr>
          <w:rFonts w:ascii="Theinhardt Regular" w:hAnsi="Theinhardt Regular"/>
        </w:rPr>
      </w:pPr>
      <w:r w:rsidRPr="00F043DF">
        <w:rPr>
          <w:rFonts w:ascii="Arial" w:hAnsi="Arial" w:cs="Arial"/>
        </w:rPr>
        <w:t>□</w:t>
      </w:r>
      <w:r w:rsidRPr="00F043DF">
        <w:rPr>
          <w:rFonts w:ascii="Theinhardt Regular" w:hAnsi="Theinhardt Regular"/>
        </w:rPr>
        <w:t xml:space="preserve"> Limit the personal information about me that my financial advisor discloses or takes to a New Financial Institution upon terminating his or her relationship with the </w:t>
      </w:r>
      <w:r w:rsidR="008B07A6">
        <w:rPr>
          <w:rFonts w:ascii="Theinhardt Regular" w:hAnsi="Theinhardt Regular"/>
        </w:rPr>
        <w:t>Firm</w:t>
      </w:r>
      <w:r w:rsidRPr="00F043DF">
        <w:rPr>
          <w:rFonts w:ascii="Theinhardt Regular" w:hAnsi="Theinhardt Regular"/>
        </w:rPr>
        <w:t>.</w:t>
      </w:r>
    </w:p>
    <w:p w14:paraId="78425719" w14:textId="6C46FB43" w:rsidR="00586833" w:rsidRPr="00F043DF" w:rsidRDefault="00A6624E" w:rsidP="00F043DF">
      <w:pPr>
        <w:jc w:val="both"/>
        <w:rPr>
          <w:rFonts w:ascii="Theinhardt Regular" w:hAnsi="Theinhardt Regular"/>
        </w:rPr>
      </w:pPr>
      <w:r w:rsidRPr="00F043DF">
        <w:rPr>
          <w:rFonts w:ascii="Theinhardt Regular" w:hAnsi="Theinhardt Regular"/>
        </w:rPr>
        <w:t xml:space="preserve">I understand that the </w:t>
      </w:r>
      <w:r w:rsidR="008B07A6">
        <w:rPr>
          <w:rFonts w:ascii="Theinhardt Regular" w:hAnsi="Theinhardt Regular"/>
        </w:rPr>
        <w:t>Firm</w:t>
      </w:r>
      <w:r w:rsidRPr="00F043DF">
        <w:rPr>
          <w:rFonts w:ascii="Theinhardt Regular" w:hAnsi="Theinhardt Regular"/>
        </w:rPr>
        <w:t xml:space="preserve"> may disclose my name, address, telephone number, email, and a general description of my accounts to such financial institution, unless I opt out or unless my </w:t>
      </w:r>
      <w:proofErr w:type="spellStart"/>
      <w:r w:rsidRPr="00F043DF">
        <w:rPr>
          <w:rFonts w:ascii="Theinhardt Regular" w:hAnsi="Theinhardt Regular"/>
        </w:rPr>
        <w:t>af</w:t>
      </w:r>
      <w:r w:rsidR="008B07A6">
        <w:rPr>
          <w:rFonts w:ascii="Theinhardt Regular" w:hAnsi="Theinhardt Regular"/>
        </w:rPr>
        <w:t>Firm</w:t>
      </w:r>
      <w:r w:rsidRPr="00F043DF">
        <w:rPr>
          <w:rFonts w:ascii="Theinhardt Regular" w:hAnsi="Theinhardt Regular"/>
        </w:rPr>
        <w:t>ative</w:t>
      </w:r>
      <w:proofErr w:type="spellEnd"/>
      <w:r w:rsidRPr="00F043DF">
        <w:rPr>
          <w:rFonts w:ascii="Theinhardt Regular" w:hAnsi="Theinhardt Regular"/>
        </w:rPr>
        <w:t xml:space="preserve"> consent is required by law. In states requiring </w:t>
      </w:r>
      <w:proofErr w:type="spellStart"/>
      <w:r w:rsidRPr="00F043DF">
        <w:rPr>
          <w:rFonts w:ascii="Theinhardt Regular" w:hAnsi="Theinhardt Regular"/>
        </w:rPr>
        <w:t>af</w:t>
      </w:r>
      <w:r w:rsidR="008B07A6">
        <w:rPr>
          <w:rFonts w:ascii="Theinhardt Regular" w:hAnsi="Theinhardt Regular"/>
        </w:rPr>
        <w:t>Firm</w:t>
      </w:r>
      <w:r w:rsidRPr="00F043DF">
        <w:rPr>
          <w:rFonts w:ascii="Theinhardt Regular" w:hAnsi="Theinhardt Regular"/>
        </w:rPr>
        <w:t>ative</w:t>
      </w:r>
      <w:proofErr w:type="spellEnd"/>
      <w:r w:rsidRPr="00F043DF">
        <w:rPr>
          <w:rFonts w:ascii="Theinhardt Regular" w:hAnsi="Theinhardt Regular"/>
        </w:rPr>
        <w:t xml:space="preserve"> consent, I will provide written consent before any disclosure.</w:t>
      </w:r>
    </w:p>
    <w:p w14:paraId="0E642A44" w14:textId="64A1755D" w:rsidR="007C500B" w:rsidRDefault="00A6624E" w:rsidP="00F043DF">
      <w:pPr>
        <w:jc w:val="both"/>
        <w:rPr>
          <w:rFonts w:ascii="Theinhardt Regular" w:hAnsi="Theinhardt Regular"/>
        </w:rPr>
      </w:pPr>
      <w:r w:rsidRPr="00F043DF">
        <w:rPr>
          <w:rFonts w:ascii="Theinhardt Regular" w:hAnsi="Theinhardt Regular"/>
        </w:rPr>
        <w:t>Client Name: ____________________________</w:t>
      </w:r>
      <w:r w:rsidR="007C500B">
        <w:rPr>
          <w:rFonts w:ascii="Theinhardt Regular" w:hAnsi="Theinhardt Regular"/>
        </w:rPr>
        <w:t xml:space="preserve"> </w:t>
      </w:r>
      <w:r w:rsidRPr="00F043DF">
        <w:rPr>
          <w:rFonts w:ascii="Theinhardt Regular" w:hAnsi="Theinhardt Regular"/>
        </w:rPr>
        <w:t>Signature:</w:t>
      </w:r>
      <w:r w:rsidR="007C500B">
        <w:rPr>
          <w:rFonts w:ascii="Theinhardt Regular" w:hAnsi="Theinhardt Regular"/>
        </w:rPr>
        <w:t xml:space="preserve"> </w:t>
      </w:r>
      <w:r w:rsidRPr="00F043DF">
        <w:rPr>
          <w:rFonts w:ascii="Theinhardt Regular" w:hAnsi="Theinhardt Regular"/>
        </w:rPr>
        <w:t>_________________     Date:</w:t>
      </w:r>
      <w:r w:rsidR="007C500B">
        <w:rPr>
          <w:rFonts w:ascii="Theinhardt Regular" w:hAnsi="Theinhardt Regular"/>
        </w:rPr>
        <w:t xml:space="preserve"> </w:t>
      </w:r>
      <w:r w:rsidRPr="00F043DF">
        <w:rPr>
          <w:rFonts w:ascii="Theinhardt Regular" w:hAnsi="Theinhardt Regular"/>
        </w:rPr>
        <w:t>____________</w:t>
      </w:r>
    </w:p>
    <w:p w14:paraId="241448E7" w14:textId="09839811" w:rsidR="00586833" w:rsidRPr="00F043DF" w:rsidRDefault="00A6624E" w:rsidP="00F043DF">
      <w:pPr>
        <w:jc w:val="both"/>
        <w:rPr>
          <w:rFonts w:ascii="Theinhardt Regular" w:hAnsi="Theinhardt Regular"/>
        </w:rPr>
      </w:pPr>
      <w:r w:rsidRPr="00F043DF">
        <w:rPr>
          <w:rFonts w:ascii="Theinhardt Regular" w:hAnsi="Theinhardt Regular"/>
        </w:rPr>
        <w:t>Joint Client (if applicable): ______________________</w:t>
      </w:r>
      <w:r w:rsidR="007C500B">
        <w:rPr>
          <w:rFonts w:ascii="Theinhardt Regular" w:hAnsi="Theinhardt Regular"/>
        </w:rPr>
        <w:t xml:space="preserve"> </w:t>
      </w:r>
      <w:r w:rsidRPr="00F043DF">
        <w:rPr>
          <w:rFonts w:ascii="Theinhardt Regular" w:hAnsi="Theinhardt Regular"/>
        </w:rPr>
        <w:t>Signature: ___________________     Date: ____________</w:t>
      </w:r>
    </w:p>
    <w:p w14:paraId="0A213E6E" w14:textId="1708F79D" w:rsidR="00586833" w:rsidRPr="00F043DF" w:rsidRDefault="00586833" w:rsidP="00F043DF">
      <w:pPr>
        <w:jc w:val="both"/>
        <w:rPr>
          <w:rFonts w:ascii="Theinhardt Regular" w:hAnsi="Theinhardt Regular"/>
        </w:rPr>
      </w:pPr>
    </w:p>
    <w:sectPr w:rsidR="00586833" w:rsidRPr="00F043DF" w:rsidSect="00BB56F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Theinhardt Regular">
    <w:panose1 w:val="020B0503020202020204"/>
    <w:charset w:val="00"/>
    <w:family w:val="swiss"/>
    <w:notTrueType/>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3A16B3"/>
    <w:rsid w:val="00586833"/>
    <w:rsid w:val="006C046B"/>
    <w:rsid w:val="007C500B"/>
    <w:rsid w:val="008B07A6"/>
    <w:rsid w:val="00A6608B"/>
    <w:rsid w:val="00A6624E"/>
    <w:rsid w:val="00AA1D8D"/>
    <w:rsid w:val="00AF4875"/>
    <w:rsid w:val="00B47730"/>
    <w:rsid w:val="00B76259"/>
    <w:rsid w:val="00BB56F1"/>
    <w:rsid w:val="00C23654"/>
    <w:rsid w:val="00CB0664"/>
    <w:rsid w:val="00DC2105"/>
    <w:rsid w:val="00F043DF"/>
    <w:rsid w:val="00FC693F"/>
    <w:rsid w:val="00FD7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6E85E5"/>
  <w14:defaultImageDpi w14:val="300"/>
  <w15:docId w15:val="{E34EF6C4-0484-4368-BB94-B4290C020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DC2105"/>
    <w:rPr>
      <w:color w:val="0000FF" w:themeColor="hyperlink"/>
      <w:u w:val="single"/>
    </w:rPr>
  </w:style>
  <w:style w:type="character" w:styleId="UnresolvedMention">
    <w:name w:val="Unresolved Mention"/>
    <w:basedOn w:val="DefaultParagraphFont"/>
    <w:uiPriority w:val="99"/>
    <w:semiHidden/>
    <w:unhideWhenUsed/>
    <w:rsid w:val="00DC2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tapaprivatewealth.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1282</Words>
  <Characters>7310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Gurkan Tapa</cp:lastModifiedBy>
  <cp:revision>15</cp:revision>
  <dcterms:created xsi:type="dcterms:W3CDTF">2013-12-23T23:15:00Z</dcterms:created>
  <dcterms:modified xsi:type="dcterms:W3CDTF">2025-08-17T22:21:00Z</dcterms:modified>
  <cp:category/>
</cp:coreProperties>
</file>